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5A74AF" w:rsidRDefault="009303D9">
      <w:pPr>
        <w:pStyle w:val="papertitle"/>
        <w:rPr>
          <w:b/>
          <w:sz w:val="28"/>
          <w:szCs w:val="28"/>
        </w:rPr>
      </w:pPr>
      <w:bookmarkStart w:id="0" w:name="_GoBack"/>
      <w:bookmarkEnd w:id="0"/>
      <w:r w:rsidRPr="005A74AF">
        <w:rPr>
          <w:b/>
          <w:sz w:val="28"/>
          <w:szCs w:val="28"/>
        </w:rPr>
        <w:t xml:space="preserve">Paper Title (use style: </w:t>
      </w:r>
      <w:r w:rsidRPr="005A74AF">
        <w:rPr>
          <w:b/>
          <w:i/>
          <w:iCs/>
          <w:sz w:val="28"/>
          <w:szCs w:val="28"/>
        </w:rPr>
        <w:t>paper title</w:t>
      </w:r>
      <w:r w:rsidRPr="005A74AF">
        <w:rPr>
          <w:b/>
          <w:sz w:val="28"/>
          <w:szCs w:val="28"/>
        </w:rPr>
        <w:t>)</w:t>
      </w:r>
    </w:p>
    <w:p w:rsidR="009303D9" w:rsidRPr="00037477" w:rsidRDefault="005A74AF">
      <w:pPr>
        <w:pStyle w:val="papersubtitle"/>
        <w:rPr>
          <w:sz w:val="24"/>
          <w:szCs w:val="24"/>
        </w:rPr>
      </w:pPr>
      <w:r w:rsidRPr="005A74AF">
        <w:rPr>
          <w:sz w:val="24"/>
          <w:szCs w:val="24"/>
        </w:rPr>
        <w:t>Subtitle as needed</w:t>
      </w: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6B5E76" w:rsidP="005B520E">
      <w:pPr>
        <w:pStyle w:val="Affiliation"/>
      </w:pPr>
      <w:r>
        <w:t xml:space="preserve">line 4: e-mail: </w:t>
      </w:r>
      <w:r w:rsidR="006A7F7A">
        <w:t>name</w:t>
      </w:r>
      <w:r>
        <w:t>@xyz.com</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r w:rsidRPr="005B520E">
        <w:t>line 4: e-mail</w:t>
      </w:r>
      <w:r w:rsidR="006B5E76">
        <w:t xml:space="preserve">: </w:t>
      </w:r>
      <w:r w:rsidR="006A7F7A">
        <w:t>name</w:t>
      </w:r>
      <w:r w:rsidR="006B5E76">
        <w:t>@xyz.com</w:t>
      </w: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t>DO NOT USE SPECIAL CHARACTERS, SYMBOLS, OR MATH IN YOUR TITLE OR ABSTRACT.</w:t>
      </w:r>
      <w:r w:rsidR="00441A9C">
        <w:t xml:space="preserve"> </w:t>
      </w:r>
      <w:r>
        <w:rPr>
          <w:b w:val="0"/>
          <w:bCs w:val="0"/>
          <w:i/>
          <w:iCs/>
        </w:rPr>
        <w:t>(Abstract)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r>
        <w:t xml:space="preserve"> </w:t>
      </w:r>
      <w:r>
        <w:rPr>
          <w:i/>
          <w:iCs/>
        </w:rPr>
        <w:t>(Heading 1)</w:t>
      </w:r>
    </w:p>
    <w:p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rsidR="00391A50" w:rsidRPr="005A74AF" w:rsidRDefault="00085B4B" w:rsidP="00085B4B">
      <w:pPr>
        <w:pStyle w:val="Heading1"/>
      </w:pPr>
      <w:r w:rsidRPr="005A74AF">
        <w:t>Type Style and Fonts</w:t>
      </w:r>
    </w:p>
    <w:p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rsidR="009303D9" w:rsidRDefault="009303D9" w:rsidP="005B520E">
      <w:pPr>
        <w:pStyle w:val="Heading1"/>
      </w:pPr>
      <w:r>
        <w:lastRenderedPageBreak/>
        <w:t>Ease of Use</w:t>
      </w:r>
    </w:p>
    <w:p w:rsidR="009303D9" w:rsidRDefault="009303D9" w:rsidP="005B520E">
      <w:pPr>
        <w:pStyle w:val="Heading2"/>
      </w:pPr>
      <w:r>
        <w:t>Selecting a Template (Heading 2)</w:t>
      </w:r>
    </w:p>
    <w:p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rsidR="009303D9" w:rsidRPr="005B520E" w:rsidRDefault="009303D9">
      <w:pPr>
        <w:pStyle w:val="Heading2"/>
      </w:pPr>
      <w:r w:rsidRPr="005B520E">
        <w:t>Maintaining the Integrity of the Specifications</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t xml:space="preserve">Prepare Your Paper </w:t>
      </w:r>
      <w:r w:rsidRPr="005B520E">
        <w:t>Before</w:t>
      </w:r>
      <w:r>
        <w:t xml:space="preserve"> Styling</w:t>
      </w:r>
    </w:p>
    <w:p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2D0829">
      <w:pPr>
        <w:pStyle w:val="bulletlist"/>
      </w:pPr>
      <w:r w:rsidRPr="005B520E">
        <w:t xml:space="preserve">Use either SI (MKS) or CGS as primary units. (SI units are encouraged.) English units may be used as secondary units (in parentheses). An exception </w:t>
      </w:r>
      <w:r w:rsidRPr="005B520E">
        <w:lastRenderedPageBreak/>
        <w:t>would be the use of English units as identifiers in trade, such as “3.5-inch disk drive”.</w:t>
      </w:r>
    </w:p>
    <w:p w:rsidR="009303D9" w:rsidRPr="005B520E" w:rsidRDefault="009303D9" w:rsidP="002D0829">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Default="009303D9" w:rsidP="002D0829">
      <w:pPr>
        <w:pStyle w:val="bulletlist"/>
      </w:pPr>
      <w:r w:rsidRPr="005B520E">
        <w:t>Do not mix complete spellings and abbreviations of units: “Wb/m2” or “webers per square meter”, not “webers/m2”.  Spell out units when they appear in text: “. . . a few henries”, not “. . . a few H”.</w:t>
      </w:r>
    </w:p>
    <w:p w:rsidR="005A74AF" w:rsidRDefault="005A74AF" w:rsidP="002D0829">
      <w:pPr>
        <w:pStyle w:val="bulletlist"/>
      </w:pPr>
      <w:r w:rsidRPr="005A74AF">
        <w:t>Use a zero before dec</w:t>
      </w:r>
      <w:r>
        <w:t>imal points: “0.25”, not “.25”.</w:t>
      </w:r>
    </w:p>
    <w:p w:rsidR="009303D9" w:rsidRPr="005B520E" w:rsidRDefault="009303D9">
      <w:pPr>
        <w:pStyle w:val="Heading2"/>
      </w:pPr>
      <w:r w:rsidRPr="005B520E">
        <w:t>Equations</w:t>
      </w:r>
    </w:p>
    <w:p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rsidP="002D0829">
      <w:pPr>
        <w:pStyle w:val="bulletlist"/>
      </w:pPr>
      <w:r w:rsidRPr="005B520E">
        <w:t>The word “data” is plural, not singular.</w:t>
      </w:r>
    </w:p>
    <w:p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2D0829">
      <w:pPr>
        <w:pStyle w:val="bulletlist"/>
      </w:pPr>
      <w:r w:rsidRPr="005B520E">
        <w:t xml:space="preserve">A graph within a graph is an “inset”, not an “insert”. The word alternatively is preferred to the word </w:t>
      </w:r>
      <w:r w:rsidRPr="005B520E">
        <w:lastRenderedPageBreak/>
        <w:t>“alternately” (unless you really mean something that alternates).</w:t>
      </w:r>
    </w:p>
    <w:p w:rsidR="009303D9" w:rsidRPr="005B520E" w:rsidRDefault="009303D9" w:rsidP="002D0829">
      <w:pPr>
        <w:pStyle w:val="bulletlist"/>
      </w:pPr>
      <w:r w:rsidRPr="005B520E">
        <w:t>Do not use the word “essentially” to mean “approximately” or “effectively”.</w:t>
      </w:r>
    </w:p>
    <w:p w:rsidR="009303D9" w:rsidRPr="005B520E" w:rsidRDefault="009303D9" w:rsidP="002D0829">
      <w:pPr>
        <w:pStyle w:val="bulletlist"/>
      </w:pPr>
      <w:r w:rsidRPr="005B520E">
        <w:t>In your paper title, if the words “that uses” can accurately replace the word “using”, capitalize the “u”; if not, keep using lower-cased.</w:t>
      </w:r>
    </w:p>
    <w:p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rsidR="009303D9" w:rsidRPr="005B520E" w:rsidRDefault="009303D9" w:rsidP="002D0829">
      <w:pPr>
        <w:pStyle w:val="bulletlist"/>
      </w:pPr>
      <w:r w:rsidRPr="005B520E">
        <w:t>Do not confuse “imply” and “infer”.</w:t>
      </w:r>
    </w:p>
    <w:p w:rsidR="009303D9" w:rsidRPr="005B520E" w:rsidRDefault="009303D9" w:rsidP="002D0829">
      <w:pPr>
        <w:pStyle w:val="bulletlist"/>
      </w:pPr>
      <w:r w:rsidRPr="005B520E">
        <w:t>The prefix “non” is not a word; it should be joined to the word it modifies, usually without a hyphen.</w:t>
      </w:r>
    </w:p>
    <w:p w:rsidR="009303D9" w:rsidRPr="005B520E" w:rsidRDefault="009303D9" w:rsidP="002D0829">
      <w:pPr>
        <w:pStyle w:val="bulletlist"/>
      </w:pPr>
      <w:r w:rsidRPr="005B520E">
        <w:t>There is no period after the “et” in the Latin abbreviation “et al.”.</w:t>
      </w:r>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rsidR="009303D9" w:rsidRPr="005B520E" w:rsidRDefault="009303D9" w:rsidP="002D0829">
      <w:pPr>
        <w:pStyle w:val="Heading4"/>
        <w:spacing w:after="0"/>
      </w:pPr>
      <w:r w:rsidRPr="005B520E">
        <w:t>Highlight author and affiliation lines of affiliation 1 and copy this selection.</w:t>
      </w:r>
    </w:p>
    <w:p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rsidR="009303D9" w:rsidRPr="005B520E" w:rsidRDefault="009303D9" w:rsidP="002D0829">
      <w:pPr>
        <w:pStyle w:val="Heading4"/>
        <w:spacing w:after="0"/>
      </w:pPr>
      <w:r w:rsidRPr="005B520E">
        <w:lastRenderedPageBreak/>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rsidP="002D0829">
      <w:pPr>
        <w:pStyle w:val="BodyText"/>
      </w:pPr>
      <w:r w:rsidRPr="005B520E">
        <w:t>Headings, or heads, are organizational devices that guide the reader through your paper. There are two types: component heads and text heads.</w:t>
      </w:r>
    </w:p>
    <w:p w:rsidR="009303D9" w:rsidRPr="005B520E" w:rsidRDefault="009303D9" w:rsidP="002D082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Default="00113F26" w:rsidP="00696196">
      <w:pPr>
        <w:pStyle w:val="tablefootnote"/>
        <w:spacing w:after="240"/>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161290</wp:posOffset>
                </wp:positionV>
                <wp:extent cx="3200400" cy="1425575"/>
                <wp:effectExtent l="9525" t="8890" r="9525" b="13335"/>
                <wp:wrapTight wrapText="bothSides">
                  <wp:wrapPolygon edited="0">
                    <wp:start x="-64" y="0"/>
                    <wp:lineTo x="-64" y="21600"/>
                    <wp:lineTo x="21664" y="21600"/>
                    <wp:lineTo x="21664" y="0"/>
                    <wp:lineTo x="-6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5575"/>
                        </a:xfrm>
                        <a:prstGeom prst="rect">
                          <a:avLst/>
                        </a:prstGeom>
                        <a:solidFill>
                          <a:srgbClr val="FFFFFF"/>
                        </a:solidFill>
                        <a:ln w="9525">
                          <a:solidFill>
                            <a:srgbClr val="000000"/>
                          </a:solidFill>
                          <a:miter lim="800000"/>
                          <a:headEnd/>
                          <a:tailEnd/>
                        </a:ln>
                      </wps:spPr>
                      <wps:txbx>
                        <w:txbxContent>
                          <w:p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7pt;width:252pt;height:1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">
                <v:textbox inset=",10.8pt">
                  <w:txbxContent>
                    <w:p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mc:Fallback>
        </mc:AlternateContent>
      </w:r>
      <w:r w:rsidR="009303D9">
        <w:t xml:space="preserve">a. Sample of a </w:t>
      </w:r>
      <w:r w:rsidR="009303D9" w:rsidRPr="005B520E">
        <w:t>Table</w:t>
      </w:r>
      <w:r w:rsidR="009303D9">
        <w:t xml:space="preserve"> footnote. </w:t>
      </w:r>
      <w:r w:rsidR="009303D9" w:rsidRPr="005B520E">
        <w:t>(Table footnote)</w:t>
      </w:r>
    </w:p>
    <w:p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rsidR="0026029F" w:rsidRDefault="0026029F" w:rsidP="00732DC7">
      <w:pPr>
        <w:pStyle w:val="BodyText"/>
      </w:pPr>
      <w:r w:rsidRPr="005A74AF">
        <w:t>Please see last page of this document for AN EXAMPLE of a 2-COLUMN Figure.</w:t>
      </w:r>
    </w:p>
    <w:p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0A1786" w:rsidRPr="005A74AF" w:rsidRDefault="000A1786" w:rsidP="000A1786">
      <w:pPr>
        <w:pStyle w:val="Heading2"/>
      </w:pPr>
      <w:r w:rsidRPr="005A74AF">
        <w:t>Footnotes</w:t>
      </w:r>
    </w:p>
    <w:p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rsidR="000A1786" w:rsidRPr="005A74AF" w:rsidRDefault="000A1786" w:rsidP="000A1786">
      <w:pPr>
        <w:pStyle w:val="Heading1"/>
      </w:pPr>
      <w:r w:rsidRPr="005A74AF">
        <w:t>Copyright Forms and Reprint Orders</w:t>
      </w:r>
    </w:p>
    <w:p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rsidR="009303D9" w:rsidRPr="005A74AF" w:rsidRDefault="009303D9" w:rsidP="005B520E">
      <w:pPr>
        <w:pStyle w:val="Heading5"/>
      </w:pPr>
      <w:r w:rsidRPr="005A74AF">
        <w:t>Acknowledgment</w:t>
      </w:r>
    </w:p>
    <w:p w:rsidR="009303D9" w:rsidRDefault="009303D9">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rsidR="009B068B" w:rsidRDefault="009B068B">
      <w:pPr>
        <w:pStyle w:val="BodyText"/>
        <w:rPr>
          <w:dstrike/>
        </w:rPr>
      </w:pPr>
    </w:p>
    <w:p w:rsidR="009303D9" w:rsidRDefault="009303D9" w:rsidP="005B520E">
      <w:pPr>
        <w:pStyle w:val="Heading5"/>
      </w:pPr>
      <w:r w:rsidRPr="005B520E">
        <w:t>References</w:t>
      </w:r>
    </w:p>
    <w:p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9303D9" w:rsidRDefault="009303D9">
      <w:pPr>
        <w:pStyle w:val="references"/>
      </w:pPr>
      <w:r>
        <w:t>M. Young, The Technical Writer</w:t>
      </w:r>
      <w:r w:rsidR="00E95037">
        <w:t>’</w:t>
      </w:r>
      <w: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rsidR="008E792D" w:rsidRPr="005A74AF" w:rsidRDefault="008E792D" w:rsidP="008E792D">
      <w:pPr>
        <w:pStyle w:val="references"/>
      </w:pPr>
      <w:r w:rsidRPr="005A74AF">
        <w:t>Electronic Publication: Digital Object Identifiers (DOIs)</w:t>
      </w:r>
      <w:r w:rsidR="00B37A23" w:rsidRPr="005A74AF">
        <w:t>:</w:t>
      </w:r>
    </w:p>
    <w:p w:rsidR="008E792D" w:rsidRPr="005A74AF" w:rsidRDefault="008E792D" w:rsidP="008E792D">
      <w:pPr>
        <w:pStyle w:val="references"/>
        <w:numPr>
          <w:ilvl w:val="0"/>
          <w:numId w:val="0"/>
        </w:numPr>
      </w:pPr>
      <w:r w:rsidRPr="005A74AF">
        <w:t>Article in a journal:</w:t>
      </w:r>
    </w:p>
    <w:p w:rsidR="008E792D" w:rsidRPr="005A74AF" w:rsidRDefault="008E792D" w:rsidP="00364F28">
      <w:pPr>
        <w:pStyle w:val="references"/>
      </w:pPr>
      <w:r w:rsidRPr="005A74AF">
        <w:t>D. Kornack and P. Rakic, “Cell Proliferation without Neurogenesis in Adult Primate Neocortex,” Science, vol. 294, Dec. 2001, pp. 2127</w:t>
      </w:r>
      <w:r w:rsidR="00F41583" w:rsidRPr="005A74AF">
        <w:t>-</w:t>
      </w:r>
      <w:r w:rsidRPr="005A74AF">
        <w:t>2130, doi:10.1126/science.1065467.</w:t>
      </w:r>
    </w:p>
    <w:p w:rsidR="008E792D" w:rsidRPr="005A74AF" w:rsidRDefault="008E792D" w:rsidP="008E792D">
      <w:pPr>
        <w:pStyle w:val="references"/>
        <w:numPr>
          <w:ilvl w:val="0"/>
          <w:numId w:val="0"/>
        </w:numPr>
      </w:pPr>
      <w:r w:rsidRPr="005A74AF">
        <w:t>Article in a conference proceedings:</w:t>
      </w:r>
    </w:p>
    <w:p w:rsidR="008E792D" w:rsidRPr="005A74AF"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rsidR="009303D9" w:rsidRDefault="009303D9">
      <w:pPr>
        <w:pStyle w:val="references"/>
        <w:sectPr w:rsidR="009303D9" w:rsidSect="00E77B53">
          <w:type w:val="continuous"/>
          <w:pgSz w:w="12240" w:h="15840" w:code="1"/>
          <w:pgMar w:top="1440" w:right="1080" w:bottom="1440" w:left="1080" w:header="720" w:footer="720" w:gutter="0"/>
          <w:cols w:num="2" w:space="360"/>
          <w:docGrid w:linePitch="360"/>
        </w:sectPr>
      </w:pPr>
    </w:p>
    <w:p w:rsidR="009303D9" w:rsidRDefault="009303D9" w:rsidP="005B520E"/>
    <w:p w:rsidR="0026029F" w:rsidRDefault="0026029F" w:rsidP="005B520E"/>
    <w:p w:rsidR="0026029F" w:rsidRDefault="0026029F" w:rsidP="005B520E"/>
    <w:p w:rsidR="0026029F" w:rsidRDefault="0026029F" w:rsidP="005B520E"/>
    <w:p w:rsidR="0026029F" w:rsidRDefault="00113F26" w:rsidP="005B520E">
      <w:r>
        <w:rPr>
          <w:noProof/>
        </w:rPr>
        <w:drawing>
          <wp:inline distT="0" distB="0" distL="0" distR="0">
            <wp:extent cx="2489200" cy="2286000"/>
            <wp:effectExtent l="0" t="0" r="6350" b="0"/>
            <wp:docPr id="1" name="Picture 1" descr="adjust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_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0" cy="2286000"/>
                    </a:xfrm>
                    <a:prstGeom prst="rect">
                      <a:avLst/>
                    </a:prstGeom>
                    <a:noFill/>
                    <a:ln>
                      <a:noFill/>
                    </a:ln>
                  </pic:spPr>
                </pic:pic>
              </a:graphicData>
            </a:graphic>
          </wp:inline>
        </w:drawing>
      </w:r>
      <w:r w:rsidR="00197C42">
        <w:tab/>
      </w:r>
      <w:r w:rsidR="00197C42">
        <w:tab/>
      </w:r>
      <w:r>
        <w:rPr>
          <w:noProof/>
        </w:rPr>
        <w:drawing>
          <wp:inline distT="0" distB="0" distL="0" distR="0">
            <wp:extent cx="2374900" cy="2286000"/>
            <wp:effectExtent l="0" t="0" r="6350" b="0"/>
            <wp:docPr id="2" name="Picture 2" descr="adjust_norm_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_norm_correc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0" cy="2286000"/>
                    </a:xfrm>
                    <a:prstGeom prst="rect">
                      <a:avLst/>
                    </a:prstGeom>
                    <a:noFill/>
                    <a:ln>
                      <a:noFill/>
                    </a:ln>
                  </pic:spPr>
                </pic:pic>
              </a:graphicData>
            </a:graphic>
          </wp:inline>
        </w:drawing>
      </w:r>
    </w:p>
    <w:p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37477"/>
    <w:rsid w:val="00085B4B"/>
    <w:rsid w:val="000A1786"/>
    <w:rsid w:val="00113F26"/>
    <w:rsid w:val="00197C42"/>
    <w:rsid w:val="001A352E"/>
    <w:rsid w:val="001E510C"/>
    <w:rsid w:val="002254A9"/>
    <w:rsid w:val="0026029F"/>
    <w:rsid w:val="00265408"/>
    <w:rsid w:val="002D0829"/>
    <w:rsid w:val="002E4AB2"/>
    <w:rsid w:val="00364F28"/>
    <w:rsid w:val="00391A50"/>
    <w:rsid w:val="00441A9C"/>
    <w:rsid w:val="00451696"/>
    <w:rsid w:val="00560377"/>
    <w:rsid w:val="00587283"/>
    <w:rsid w:val="005A74AF"/>
    <w:rsid w:val="005B520E"/>
    <w:rsid w:val="00606FEF"/>
    <w:rsid w:val="00643478"/>
    <w:rsid w:val="00696196"/>
    <w:rsid w:val="006A7F7A"/>
    <w:rsid w:val="006B5E76"/>
    <w:rsid w:val="006F4C2D"/>
    <w:rsid w:val="00732DC7"/>
    <w:rsid w:val="0074752D"/>
    <w:rsid w:val="00754CEA"/>
    <w:rsid w:val="0077631C"/>
    <w:rsid w:val="007C2FF2"/>
    <w:rsid w:val="00825A76"/>
    <w:rsid w:val="008E792D"/>
    <w:rsid w:val="0091539F"/>
    <w:rsid w:val="009303D9"/>
    <w:rsid w:val="009B068B"/>
    <w:rsid w:val="00A13F1C"/>
    <w:rsid w:val="00A5579D"/>
    <w:rsid w:val="00B02873"/>
    <w:rsid w:val="00B11A60"/>
    <w:rsid w:val="00B37A23"/>
    <w:rsid w:val="00B85CE5"/>
    <w:rsid w:val="00B86F43"/>
    <w:rsid w:val="00CB40CD"/>
    <w:rsid w:val="00D247CB"/>
    <w:rsid w:val="00E61324"/>
    <w:rsid w:val="00E77B53"/>
    <w:rsid w:val="00E83787"/>
    <w:rsid w:val="00E95037"/>
    <w:rsid w:val="00F21009"/>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puppuluri</cp:lastModifiedBy>
  <cp:revision>2</cp:revision>
  <dcterms:created xsi:type="dcterms:W3CDTF">2012-02-15T16:06:00Z</dcterms:created>
  <dcterms:modified xsi:type="dcterms:W3CDTF">2012-02-15T16:06:00Z</dcterms:modified>
</cp:coreProperties>
</file>