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54" w:rsidRDefault="000C1FF1" w:rsidP="000C1FF1">
      <w:pPr>
        <w:jc w:val="center"/>
        <w:rPr>
          <w:rFonts w:ascii="Cambria" w:hAnsi="Cambria"/>
          <w:b/>
          <w:sz w:val="22"/>
          <w:szCs w:val="22"/>
        </w:rPr>
      </w:pPr>
      <w:bookmarkStart w:id="0" w:name="_GoBack"/>
      <w:bookmarkEnd w:id="0"/>
      <w:r w:rsidRPr="000C1FF1">
        <w:rPr>
          <w:rFonts w:ascii="Cambria" w:hAnsi="Cambria"/>
          <w:b/>
          <w:sz w:val="22"/>
          <w:szCs w:val="22"/>
        </w:rPr>
        <w:t xml:space="preserve">MOTION </w:t>
      </w:r>
      <w:r>
        <w:rPr>
          <w:rFonts w:ascii="Cambria" w:hAnsi="Cambria"/>
          <w:b/>
          <w:sz w:val="22"/>
          <w:szCs w:val="22"/>
        </w:rPr>
        <w:t xml:space="preserve">TO MOVE MERIT PAY ISSUES </w:t>
      </w:r>
      <w:r w:rsidR="00BD6654">
        <w:rPr>
          <w:rFonts w:ascii="Cambria" w:hAnsi="Cambria"/>
          <w:b/>
          <w:sz w:val="22"/>
          <w:szCs w:val="22"/>
        </w:rPr>
        <w:t xml:space="preserve">FROM </w:t>
      </w:r>
    </w:p>
    <w:p w:rsidR="000C1FF1" w:rsidRPr="000C1FF1" w:rsidRDefault="00BD6654" w:rsidP="000C1FF1">
      <w:pPr>
        <w:jc w:val="center"/>
        <w:rPr>
          <w:rFonts w:ascii="Cambria" w:hAnsi="Cambria"/>
          <w:b/>
          <w:sz w:val="22"/>
          <w:szCs w:val="22"/>
        </w:rPr>
      </w:pPr>
      <w:r>
        <w:rPr>
          <w:rFonts w:ascii="Cambria" w:hAnsi="Cambria"/>
          <w:b/>
          <w:sz w:val="22"/>
          <w:szCs w:val="22"/>
        </w:rPr>
        <w:t xml:space="preserve">GRIEVANCE COMMITTEE </w:t>
      </w:r>
      <w:r w:rsidR="000C1FF1">
        <w:rPr>
          <w:rFonts w:ascii="Cambria" w:hAnsi="Cambria"/>
          <w:b/>
          <w:sz w:val="22"/>
          <w:szCs w:val="22"/>
        </w:rPr>
        <w:t>TO THE APPEALS COMMITTEE</w:t>
      </w:r>
    </w:p>
    <w:p w:rsidR="000C1FF1" w:rsidRPr="000C1FF1" w:rsidRDefault="000C1FF1" w:rsidP="000C1FF1">
      <w:pPr>
        <w:jc w:val="center"/>
        <w:rPr>
          <w:rFonts w:ascii="Cambria" w:hAnsi="Cambria"/>
          <w:b/>
          <w:sz w:val="22"/>
          <w:szCs w:val="22"/>
        </w:rPr>
      </w:pPr>
      <w:r w:rsidRPr="000C1FF1">
        <w:rPr>
          <w:rFonts w:ascii="Cambria" w:hAnsi="Cambria"/>
          <w:b/>
          <w:sz w:val="22"/>
          <w:szCs w:val="22"/>
        </w:rPr>
        <w:t xml:space="preserve">Referred by the </w:t>
      </w:r>
      <w:r>
        <w:rPr>
          <w:rFonts w:ascii="Cambria" w:hAnsi="Cambria"/>
          <w:b/>
          <w:sz w:val="22"/>
          <w:szCs w:val="22"/>
        </w:rPr>
        <w:t>Governance Committee</w:t>
      </w:r>
    </w:p>
    <w:p w:rsidR="000C1FF1" w:rsidRDefault="000C1FF1">
      <w:pPr>
        <w:pStyle w:val="Body1"/>
        <w:rPr>
          <w:rFonts w:hAnsi="Arial Unicode MS"/>
        </w:rPr>
      </w:pPr>
    </w:p>
    <w:p w:rsidR="00BD6654" w:rsidRPr="00BD6654" w:rsidRDefault="000C1FF1" w:rsidP="00BD6654">
      <w:pPr>
        <w:pStyle w:val="Body"/>
        <w:rPr>
          <w:b/>
        </w:rPr>
      </w:pPr>
      <w:r>
        <w:rPr>
          <w:rFonts w:hAnsi="Arial Unicode MS"/>
        </w:rPr>
        <w:t xml:space="preserve"> </w:t>
      </w:r>
      <w:r w:rsidR="00BD6654" w:rsidRPr="00BD6654">
        <w:rPr>
          <w:b/>
        </w:rPr>
        <w:t>Motion:</w:t>
      </w:r>
    </w:p>
    <w:p w:rsidR="00BD6654" w:rsidRDefault="00BD6654" w:rsidP="00BD6654">
      <w:pPr>
        <w:pStyle w:val="Body"/>
      </w:pPr>
      <w:r>
        <w:t>The Faculty Senate recommends that issues related to merit raises be moved from the Grievance Committee to the Appeals Committee.</w:t>
      </w:r>
    </w:p>
    <w:p w:rsidR="00BD6654" w:rsidRDefault="00BD6654" w:rsidP="00BD6654">
      <w:pPr>
        <w:pStyle w:val="Body"/>
      </w:pPr>
    </w:p>
    <w:p w:rsidR="00BD6654" w:rsidRPr="00BD6654" w:rsidRDefault="00BD6654" w:rsidP="00BD6654">
      <w:pPr>
        <w:pStyle w:val="Body"/>
        <w:rPr>
          <w:b/>
        </w:rPr>
      </w:pPr>
      <w:r w:rsidRPr="00BD6654">
        <w:rPr>
          <w:b/>
        </w:rPr>
        <w:t>Rationale</w:t>
      </w:r>
      <w:r>
        <w:rPr>
          <w:b/>
        </w:rPr>
        <w:t>:</w:t>
      </w:r>
    </w:p>
    <w:p w:rsidR="00BD6654" w:rsidRDefault="00BD6654" w:rsidP="00BD6654">
      <w:pPr>
        <w:pStyle w:val="Body"/>
      </w:pPr>
      <w:r>
        <w:t xml:space="preserve">Merit pay is correlated to the Faculty Annual Review, which is under the Appeals Committee.  Therefore, merit pay issues are more properly under the aegis of the Appeals Committee. Both chair of the grievance committee and appeals committee agree on this move. </w:t>
      </w:r>
    </w:p>
    <w:p w:rsidR="00BD6654" w:rsidRDefault="00BD6654" w:rsidP="00BD6654">
      <w:pPr>
        <w:pStyle w:val="Body"/>
      </w:pPr>
    </w:p>
    <w:p w:rsidR="009931A2" w:rsidRDefault="009931A2" w:rsidP="009931A2">
      <w:pPr>
        <w:pStyle w:val="Body"/>
      </w:pPr>
      <w:r>
        <w:t>Old Language in Faculty Handbook:</w:t>
      </w:r>
    </w:p>
    <w:p w:rsidR="009931A2" w:rsidRDefault="009931A2" w:rsidP="009931A2">
      <w:pPr>
        <w:pStyle w:val="FreeForm"/>
        <w:spacing w:after="240"/>
        <w:rPr>
          <w:rFonts w:ascii="Calibri" w:hAnsi="Calibri"/>
          <w:sz w:val="22"/>
        </w:rPr>
      </w:pPr>
      <w:r>
        <w:rPr>
          <w:rFonts w:ascii="Calibri" w:hAnsi="Calibri"/>
          <w:sz w:val="22"/>
        </w:rPr>
        <w:t>1.9.2 Matters Open to a Grievance</w:t>
      </w:r>
    </w:p>
    <w:p w:rsidR="009931A2" w:rsidRDefault="009931A2" w:rsidP="009931A2">
      <w:pPr>
        <w:pStyle w:val="FreeForm"/>
        <w:spacing w:after="240"/>
        <w:rPr>
          <w:rFonts w:ascii="Calibri" w:hAnsi="Calibri"/>
          <w:sz w:val="22"/>
        </w:rPr>
      </w:pPr>
      <w:r>
        <w:rPr>
          <w:rFonts w:ascii="Calibri" w:hAnsi="Calibri"/>
          <w:sz w:val="22"/>
        </w:rPr>
        <w:t>Grievances may include but are not necessarily limited to:</w:t>
      </w:r>
    </w:p>
    <w:p w:rsidR="009931A2" w:rsidRPr="00612262" w:rsidRDefault="009931A2" w:rsidP="009931A2">
      <w:pPr>
        <w:numPr>
          <w:ilvl w:val="0"/>
          <w:numId w:val="2"/>
        </w:numPr>
        <w:tabs>
          <w:tab w:val="num" w:pos="180"/>
        </w:tabs>
        <w:ind w:left="180" w:hanging="180"/>
        <w:rPr>
          <w:rFonts w:ascii="Calibri" w:hAnsi="Calibri"/>
          <w:sz w:val="22"/>
          <w:szCs w:val="22"/>
        </w:rPr>
      </w:pPr>
      <w:r w:rsidRPr="00612262">
        <w:rPr>
          <w:rFonts w:ascii="Calibri" w:hAnsi="Calibri"/>
          <w:sz w:val="22"/>
          <w:szCs w:val="22"/>
        </w:rPr>
        <w:t>–  </w:t>
      </w:r>
      <w:r w:rsidRPr="00612262">
        <w:rPr>
          <w:rFonts w:ascii="Calibri" w:hAnsi="Calibri"/>
          <w:strike/>
          <w:sz w:val="22"/>
          <w:szCs w:val="22"/>
        </w:rPr>
        <w:t>merit pay recommendations</w:t>
      </w:r>
      <w:r w:rsidRPr="00612262">
        <w:rPr>
          <w:rFonts w:ascii="Calibri" w:hAnsi="Calibri"/>
          <w:sz w:val="22"/>
          <w:szCs w:val="22"/>
        </w:rPr>
        <w:t xml:space="preserve"> </w:t>
      </w:r>
    </w:p>
    <w:p w:rsidR="009931A2" w:rsidRPr="00612262" w:rsidRDefault="009931A2" w:rsidP="009931A2">
      <w:pPr>
        <w:numPr>
          <w:ilvl w:val="0"/>
          <w:numId w:val="2"/>
        </w:numPr>
        <w:tabs>
          <w:tab w:val="num" w:pos="180"/>
        </w:tabs>
        <w:ind w:left="180" w:hanging="180"/>
        <w:rPr>
          <w:rFonts w:ascii="Calibri" w:hAnsi="Calibri"/>
          <w:sz w:val="22"/>
          <w:szCs w:val="22"/>
        </w:rPr>
      </w:pPr>
      <w:r w:rsidRPr="00612262">
        <w:rPr>
          <w:rFonts w:ascii="Calibri" w:hAnsi="Calibri"/>
          <w:sz w:val="22"/>
          <w:szCs w:val="22"/>
        </w:rPr>
        <w:t xml:space="preserve">–  punitive or disciplinary actions </w:t>
      </w:r>
    </w:p>
    <w:p w:rsidR="009931A2" w:rsidRPr="00612262" w:rsidRDefault="009931A2" w:rsidP="009931A2">
      <w:pPr>
        <w:numPr>
          <w:ilvl w:val="0"/>
          <w:numId w:val="2"/>
        </w:numPr>
        <w:tabs>
          <w:tab w:val="num" w:pos="180"/>
        </w:tabs>
        <w:ind w:left="180" w:hanging="180"/>
        <w:rPr>
          <w:rFonts w:ascii="Calibri" w:hAnsi="Calibri"/>
          <w:sz w:val="22"/>
          <w:szCs w:val="22"/>
        </w:rPr>
      </w:pPr>
      <w:r w:rsidRPr="00612262">
        <w:rPr>
          <w:rFonts w:ascii="Calibri" w:hAnsi="Calibri"/>
          <w:sz w:val="22"/>
          <w:szCs w:val="22"/>
        </w:rPr>
        <w:t xml:space="preserve">–  teaching assignments and teaching loads </w:t>
      </w:r>
    </w:p>
    <w:p w:rsidR="009931A2" w:rsidRPr="00612262" w:rsidRDefault="009931A2" w:rsidP="009931A2">
      <w:pPr>
        <w:numPr>
          <w:ilvl w:val="0"/>
          <w:numId w:val="2"/>
        </w:numPr>
        <w:tabs>
          <w:tab w:val="num" w:pos="180"/>
        </w:tabs>
        <w:ind w:left="180" w:hanging="180"/>
        <w:rPr>
          <w:rFonts w:ascii="Calibri" w:hAnsi="Calibri"/>
          <w:sz w:val="22"/>
          <w:szCs w:val="22"/>
        </w:rPr>
      </w:pPr>
      <w:r w:rsidRPr="00612262">
        <w:rPr>
          <w:rFonts w:ascii="Calibri" w:hAnsi="Calibri"/>
          <w:sz w:val="22"/>
          <w:szCs w:val="22"/>
        </w:rPr>
        <w:t xml:space="preserve">–  disputes with faculty and administrative colleagues </w:t>
      </w:r>
    </w:p>
    <w:p w:rsidR="009931A2" w:rsidRPr="00C074E5" w:rsidRDefault="009931A2" w:rsidP="009931A2">
      <w:pPr>
        <w:pStyle w:val="FreeForm"/>
        <w:tabs>
          <w:tab w:val="left" w:pos="220"/>
          <w:tab w:val="left" w:pos="720"/>
        </w:tabs>
        <w:spacing w:after="240"/>
        <w:rPr>
          <w:rFonts w:ascii="Calibri" w:hAnsi="Calibri"/>
          <w:sz w:val="22"/>
        </w:rPr>
      </w:pPr>
    </w:p>
    <w:p w:rsidR="009931A2" w:rsidRDefault="009931A2" w:rsidP="009931A2">
      <w:pPr>
        <w:pStyle w:val="FreeForm"/>
        <w:tabs>
          <w:tab w:val="left" w:pos="220"/>
          <w:tab w:val="left" w:pos="720"/>
        </w:tabs>
        <w:spacing w:after="240"/>
        <w:rPr>
          <w:rFonts w:ascii="Calibri" w:hAnsi="Calibri"/>
          <w:sz w:val="22"/>
        </w:rPr>
      </w:pPr>
      <w:r>
        <w:rPr>
          <w:rFonts w:ascii="Calibri" w:hAnsi="Calibri"/>
          <w:sz w:val="22"/>
        </w:rPr>
        <w:t>New Language in Faculty Handbook:</w:t>
      </w:r>
    </w:p>
    <w:p w:rsidR="009931A2" w:rsidRDefault="009931A2" w:rsidP="009931A2">
      <w:pPr>
        <w:pStyle w:val="FreeForm"/>
        <w:spacing w:after="240"/>
        <w:rPr>
          <w:rFonts w:ascii="Calibri" w:hAnsi="Calibri"/>
          <w:sz w:val="22"/>
        </w:rPr>
      </w:pPr>
      <w:r>
        <w:rPr>
          <w:rFonts w:ascii="Calibri" w:hAnsi="Calibri"/>
          <w:sz w:val="22"/>
        </w:rPr>
        <w:t>1.8.2 Matters Open to an Appeal</w:t>
      </w:r>
    </w:p>
    <w:p w:rsidR="009931A2" w:rsidRPr="00612262" w:rsidRDefault="009931A2" w:rsidP="009931A2">
      <w:pPr>
        <w:pStyle w:val="FreeForm"/>
        <w:spacing w:after="240"/>
        <w:rPr>
          <w:rFonts w:ascii="Calibri" w:hAnsi="Calibri"/>
          <w:sz w:val="22"/>
        </w:rPr>
      </w:pPr>
      <w:r w:rsidRPr="00612262">
        <w:rPr>
          <w:rFonts w:ascii="Calibri" w:hAnsi="Calibri"/>
          <w:sz w:val="22"/>
        </w:rPr>
        <w:t>The following matters are open to an appeal through these procedures:</w:t>
      </w:r>
    </w:p>
    <w:p w:rsidR="009931A2" w:rsidRPr="00612262" w:rsidRDefault="009931A2" w:rsidP="009931A2">
      <w:pPr>
        <w:numPr>
          <w:ilvl w:val="0"/>
          <w:numId w:val="3"/>
        </w:numPr>
        <w:tabs>
          <w:tab w:val="num" w:pos="180"/>
        </w:tabs>
        <w:ind w:left="180" w:hanging="180"/>
        <w:rPr>
          <w:rFonts w:ascii="Calibri" w:hAnsi="Calibri"/>
          <w:sz w:val="22"/>
          <w:szCs w:val="22"/>
        </w:rPr>
      </w:pPr>
      <w:r w:rsidRPr="00612262">
        <w:rPr>
          <w:rFonts w:ascii="Calibri" w:hAnsi="Calibri"/>
        </w:rPr>
        <w:t>–  </w:t>
      </w:r>
      <w:r>
        <w:rPr>
          <w:rFonts w:ascii="Calibri" w:hAnsi="Calibri"/>
          <w:color w:val="FF0000"/>
        </w:rPr>
        <w:t>recommendations or decisions related to merit pay</w:t>
      </w:r>
    </w:p>
    <w:p w:rsidR="009931A2" w:rsidRPr="00612262" w:rsidRDefault="009931A2" w:rsidP="009931A2">
      <w:pPr>
        <w:numPr>
          <w:ilvl w:val="0"/>
          <w:numId w:val="3"/>
        </w:numPr>
        <w:tabs>
          <w:tab w:val="num" w:pos="180"/>
        </w:tabs>
        <w:ind w:left="180" w:hanging="180"/>
        <w:rPr>
          <w:rFonts w:ascii="Calibri" w:hAnsi="Calibri"/>
          <w:sz w:val="22"/>
          <w:szCs w:val="22"/>
        </w:rPr>
      </w:pPr>
      <w:r>
        <w:rPr>
          <w:rFonts w:ascii="Calibri" w:hAnsi="Calibri"/>
          <w:sz w:val="22"/>
          <w:szCs w:val="22"/>
        </w:rPr>
        <w:t xml:space="preserve">-- </w:t>
      </w:r>
      <w:r w:rsidRPr="00612262">
        <w:rPr>
          <w:rFonts w:ascii="Calibri" w:hAnsi="Calibri"/>
          <w:sz w:val="22"/>
          <w:szCs w:val="22"/>
        </w:rPr>
        <w:t xml:space="preserve">recommendations or decisions related to evaluations </w:t>
      </w:r>
    </w:p>
    <w:p w:rsidR="009931A2" w:rsidRPr="00612262" w:rsidRDefault="009931A2" w:rsidP="009931A2">
      <w:pPr>
        <w:numPr>
          <w:ilvl w:val="0"/>
          <w:numId w:val="3"/>
        </w:numPr>
        <w:tabs>
          <w:tab w:val="num" w:pos="180"/>
        </w:tabs>
        <w:ind w:left="180" w:hanging="180"/>
        <w:rPr>
          <w:rFonts w:ascii="Calibri" w:hAnsi="Calibri"/>
          <w:sz w:val="22"/>
          <w:szCs w:val="22"/>
        </w:rPr>
      </w:pPr>
      <w:r w:rsidRPr="00612262">
        <w:rPr>
          <w:rFonts w:ascii="Calibri" w:hAnsi="Calibri"/>
          <w:sz w:val="22"/>
          <w:szCs w:val="22"/>
        </w:rPr>
        <w:t xml:space="preserve">–  recommendations or decisions relating to non-reappointment, including those resulting from post-  </w:t>
      </w:r>
    </w:p>
    <w:p w:rsidR="009931A2" w:rsidRPr="00612262" w:rsidRDefault="009931A2" w:rsidP="009931A2">
      <w:pPr>
        <w:rPr>
          <w:rFonts w:ascii="Calibri" w:hAnsi="Calibri"/>
          <w:sz w:val="22"/>
          <w:szCs w:val="22"/>
        </w:rPr>
      </w:pPr>
      <w:r w:rsidRPr="00612262">
        <w:rPr>
          <w:rFonts w:ascii="Calibri" w:hAnsi="Calibri"/>
          <w:sz w:val="22"/>
          <w:szCs w:val="22"/>
        </w:rPr>
        <w:t xml:space="preserve">       </w:t>
      </w:r>
      <w:proofErr w:type="gramStart"/>
      <w:r w:rsidRPr="00612262">
        <w:rPr>
          <w:rFonts w:ascii="Calibri" w:hAnsi="Calibri"/>
          <w:sz w:val="22"/>
          <w:szCs w:val="22"/>
        </w:rPr>
        <w:t>tenure</w:t>
      </w:r>
      <w:proofErr w:type="gramEnd"/>
      <w:r w:rsidRPr="00612262">
        <w:rPr>
          <w:rFonts w:ascii="Calibri" w:hAnsi="Calibri"/>
          <w:sz w:val="22"/>
          <w:szCs w:val="22"/>
        </w:rPr>
        <w:t xml:space="preserve"> review </w:t>
      </w:r>
    </w:p>
    <w:p w:rsidR="009931A2" w:rsidRPr="00612262" w:rsidRDefault="009931A2" w:rsidP="009931A2">
      <w:pPr>
        <w:numPr>
          <w:ilvl w:val="0"/>
          <w:numId w:val="3"/>
        </w:numPr>
        <w:tabs>
          <w:tab w:val="num" w:pos="180"/>
        </w:tabs>
        <w:ind w:left="180" w:hanging="180"/>
        <w:rPr>
          <w:rFonts w:ascii="Calibri" w:hAnsi="Calibri"/>
          <w:sz w:val="22"/>
          <w:szCs w:val="22"/>
        </w:rPr>
      </w:pPr>
      <w:r w:rsidRPr="00612262">
        <w:rPr>
          <w:rFonts w:ascii="Calibri" w:hAnsi="Calibri"/>
          <w:sz w:val="22"/>
          <w:szCs w:val="22"/>
        </w:rPr>
        <w:t xml:space="preserve">–  recommendations or decisions relating to tenure </w:t>
      </w:r>
    </w:p>
    <w:p w:rsidR="009931A2" w:rsidRPr="00612262" w:rsidRDefault="009931A2" w:rsidP="009931A2">
      <w:pPr>
        <w:numPr>
          <w:ilvl w:val="0"/>
          <w:numId w:val="3"/>
        </w:numPr>
        <w:tabs>
          <w:tab w:val="num" w:pos="180"/>
        </w:tabs>
        <w:ind w:left="180" w:hanging="180"/>
        <w:rPr>
          <w:rFonts w:ascii="Calibri" w:hAnsi="Calibri"/>
          <w:sz w:val="22"/>
          <w:szCs w:val="22"/>
        </w:rPr>
      </w:pPr>
      <w:r w:rsidRPr="00612262">
        <w:rPr>
          <w:rFonts w:ascii="Calibri" w:hAnsi="Calibri"/>
          <w:sz w:val="22"/>
          <w:szCs w:val="22"/>
        </w:rPr>
        <w:t xml:space="preserve">–  recommendations or decisions relating to promotion </w:t>
      </w:r>
    </w:p>
    <w:p w:rsidR="009931A2" w:rsidRPr="005A30CD" w:rsidRDefault="009931A2" w:rsidP="009931A2">
      <w:pPr>
        <w:numPr>
          <w:ilvl w:val="0"/>
          <w:numId w:val="3"/>
        </w:numPr>
        <w:tabs>
          <w:tab w:val="num" w:pos="180"/>
        </w:tabs>
        <w:ind w:left="180" w:hanging="180"/>
        <w:rPr>
          <w:rFonts w:ascii="Calibri" w:eastAsia="ヒラギノ角ゴ Pro W3" w:hAnsi="Calibri"/>
          <w:sz w:val="22"/>
          <w:szCs w:val="22"/>
        </w:rPr>
      </w:pPr>
      <w:r w:rsidRPr="00612262">
        <w:rPr>
          <w:rFonts w:ascii="Calibri" w:hAnsi="Calibri"/>
          <w:sz w:val="22"/>
          <w:szCs w:val="22"/>
        </w:rPr>
        <w:t>–  recommendations or decisions relating to terminati</w:t>
      </w:r>
      <w:r>
        <w:rPr>
          <w:rFonts w:ascii="Calibri" w:hAnsi="Calibri"/>
          <w:sz w:val="22"/>
          <w:szCs w:val="22"/>
        </w:rPr>
        <w:t>on for cause</w:t>
      </w:r>
    </w:p>
    <w:p w:rsidR="00AF7D7D" w:rsidRDefault="00AF7D7D" w:rsidP="000C1FF1">
      <w:pPr>
        <w:pStyle w:val="Body1"/>
        <w:spacing w:after="0"/>
        <w:rPr>
          <w:rFonts w:ascii="Times New Roman" w:eastAsia="Times New Roman" w:hAnsi="Times New Roman"/>
          <w:color w:val="auto"/>
          <w:sz w:val="20"/>
          <w:lang w:bidi="x-none"/>
        </w:rPr>
      </w:pPr>
    </w:p>
    <w:sectPr w:rsidR="00AF7D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F1"/>
    <w:rsid w:val="000C1FF1"/>
    <w:rsid w:val="009931A2"/>
    <w:rsid w:val="00A77EDD"/>
    <w:rsid w:val="00AF7D7D"/>
    <w:rsid w:val="00BD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Body">
    <w:name w:val="Body"/>
    <w:rsid w:val="00BD6654"/>
    <w:pPr>
      <w:spacing w:after="200" w:line="276" w:lineRule="auto"/>
    </w:pPr>
    <w:rPr>
      <w:rFonts w:ascii="Calibri" w:eastAsia="ヒラギノ角ゴ Pro W3" w:hAnsi="Calibri"/>
      <w:color w:val="000000"/>
      <w:sz w:val="22"/>
      <w:u w:color="000000"/>
    </w:rPr>
  </w:style>
  <w:style w:type="paragraph" w:customStyle="1" w:styleId="FreeForm">
    <w:name w:val="Free Form"/>
    <w:rsid w:val="00BD6654"/>
    <w:rPr>
      <w:rFonts w:ascii="Helvetica" w:eastAsia="ヒラギノ角ゴ Pro W3" w:hAnsi="Helvetica"/>
      <w:color w:val="000000"/>
      <w:sz w:val="24"/>
    </w:rPr>
  </w:style>
  <w:style w:type="numbering" w:customStyle="1" w:styleId="Bullet">
    <w:name w:val="Bullet"/>
    <w:rsid w:val="00BD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Body">
    <w:name w:val="Body"/>
    <w:rsid w:val="00BD6654"/>
    <w:pPr>
      <w:spacing w:after="200" w:line="276" w:lineRule="auto"/>
    </w:pPr>
    <w:rPr>
      <w:rFonts w:ascii="Calibri" w:eastAsia="ヒラギノ角ゴ Pro W3" w:hAnsi="Calibri"/>
      <w:color w:val="000000"/>
      <w:sz w:val="22"/>
      <w:u w:color="000000"/>
    </w:rPr>
  </w:style>
  <w:style w:type="paragraph" w:customStyle="1" w:styleId="FreeForm">
    <w:name w:val="Free Form"/>
    <w:rsid w:val="00BD6654"/>
    <w:rPr>
      <w:rFonts w:ascii="Helvetica" w:eastAsia="ヒラギノ角ゴ Pro W3" w:hAnsi="Helvetica"/>
      <w:color w:val="000000"/>
      <w:sz w:val="24"/>
    </w:rPr>
  </w:style>
  <w:style w:type="numbering" w:customStyle="1" w:styleId="Bullet">
    <w:name w:val="Bullet"/>
    <w:rsid w:val="00BD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1184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Highlander</dc:creator>
  <cp:lastModifiedBy>Radford University</cp:lastModifiedBy>
  <cp:revision>2</cp:revision>
  <dcterms:created xsi:type="dcterms:W3CDTF">2012-11-27T17:52:00Z</dcterms:created>
  <dcterms:modified xsi:type="dcterms:W3CDTF">2012-11-27T17:52:00Z</dcterms:modified>
</cp:coreProperties>
</file>